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1714" w14:textId="77777777" w:rsidR="00F33F30" w:rsidRDefault="00000000">
      <w:pPr>
        <w:spacing w:after="60"/>
        <w:jc w:val="center"/>
      </w:pPr>
      <w:r>
        <w:rPr>
          <w:b/>
          <w:bCs/>
          <w:color w:val="1F3864"/>
          <w:sz w:val="56"/>
          <w:szCs w:val="56"/>
        </w:rPr>
        <w:t>PETICE</w:t>
      </w:r>
    </w:p>
    <w:p w14:paraId="0DEC19A9" w14:textId="77777777" w:rsidR="00F33F30" w:rsidRDefault="00000000">
      <w:pPr>
        <w:spacing w:after="120"/>
        <w:jc w:val="center"/>
      </w:pPr>
      <w:r>
        <w:rPr>
          <w:i/>
          <w:iCs/>
          <w:color w:val="2E5090"/>
          <w:sz w:val="28"/>
          <w:szCs w:val="28"/>
        </w:rPr>
        <w:t>proti audiovizuálnímu záznamu v prostorách výuky</w:t>
      </w:r>
    </w:p>
    <w:p w14:paraId="35A10F22" w14:textId="77777777" w:rsidR="00F33F30" w:rsidRDefault="00000000">
      <w:pPr>
        <w:pBdr>
          <w:bottom w:val="single" w:sz="6" w:space="1" w:color="1F3864"/>
        </w:pBdr>
        <w:spacing w:after="480"/>
        <w:jc w:val="center"/>
      </w:pPr>
      <w:r>
        <w:rPr>
          <w:color w:val="555555"/>
          <w:sz w:val="22"/>
          <w:szCs w:val="22"/>
        </w:rPr>
        <w:t>a žádost o přemístění kamerového systému mimo prostory výuky</w:t>
      </w:r>
    </w:p>
    <w:p w14:paraId="7ECE61AA" w14:textId="77777777" w:rsidR="00F33F30" w:rsidRDefault="00000000">
      <w:pPr>
        <w:spacing w:after="80"/>
      </w:pPr>
      <w:r>
        <w:rPr>
          <w:b/>
          <w:bCs/>
        </w:rPr>
        <w:t>Adresát petice:</w:t>
      </w:r>
    </w:p>
    <w:p w14:paraId="4E85C08D" w14:textId="2723FCAD" w:rsidR="00F33F30" w:rsidRDefault="00000000">
      <w:pPr>
        <w:spacing w:after="60"/>
      </w:pPr>
      <w:r>
        <w:t xml:space="preserve">Jméno a příjmení ředitelky: </w:t>
      </w:r>
      <w:r w:rsidR="00695ED1">
        <w:t>Ing. Miloslava Skalová</w:t>
      </w:r>
    </w:p>
    <w:p w14:paraId="7C38BC8F" w14:textId="755B8CB2" w:rsidR="00F33F30" w:rsidRDefault="00000000">
      <w:pPr>
        <w:spacing w:after="60"/>
      </w:pPr>
      <w:r>
        <w:t xml:space="preserve">Název školy: </w:t>
      </w:r>
      <w:r w:rsidR="00695ED1">
        <w:t>Střední průmyslová škola elektrotechniky a informačních technologií, Dobruška, Čs. Odboje 670</w:t>
      </w:r>
    </w:p>
    <w:p w14:paraId="27A6A3E6" w14:textId="35E0308E" w:rsidR="00F33F30" w:rsidRDefault="00000000">
      <w:pPr>
        <w:spacing w:after="60"/>
      </w:pPr>
      <w:r>
        <w:t xml:space="preserve">Adresa školy: </w:t>
      </w:r>
      <w:r w:rsidR="00695ED1">
        <w:t>Čs. odboje 670</w:t>
      </w:r>
    </w:p>
    <w:p w14:paraId="3EEA8240" w14:textId="77777777" w:rsidR="00F33F30" w:rsidRDefault="00000000">
      <w:pPr>
        <w:spacing w:after="400"/>
      </w:pPr>
      <w:r>
        <w:rPr>
          <w:i/>
          <w:iCs/>
        </w:rPr>
        <w:t>V ............................ dne ......................</w:t>
      </w:r>
    </w:p>
    <w:p w14:paraId="4593A6F8" w14:textId="77777777" w:rsidR="00F33F30" w:rsidRDefault="00000000">
      <w:pPr>
        <w:spacing w:after="160"/>
      </w:pPr>
      <w:r>
        <w:t>My, níže podepsaní žáci, rodiče, zákonní zástupci žáků a pedagogičtí pracovníci, obracíme se na Vás s touto peticí ve smyslu zákona č. 85/1990 Sb., o právu petičním. Předkládáme ji jako konstruktivní podnět k řešení situace, která se dotýká práv všech osob přítomných při výuce. Naším cílem není konfrontace, ale dosažení funkčního řešení, které bude v souladu s právem a přijatelné pro všechny zúčastněné.</w:t>
      </w:r>
    </w:p>
    <w:p w14:paraId="4C794A24" w14:textId="77777777" w:rsidR="00F33F30" w:rsidRDefault="00000000">
      <w:pPr>
        <w:pStyle w:val="Nadpis1"/>
      </w:pPr>
      <w:r>
        <w:t>I. Popis situace a identifikované problémy</w:t>
      </w:r>
    </w:p>
    <w:p w14:paraId="641E1CF2" w14:textId="77777777" w:rsidR="00F33F30" w:rsidRDefault="00000000">
      <w:pPr>
        <w:pStyle w:val="Nadpis2"/>
      </w:pPr>
      <w:r>
        <w:t>1. Audiovizuální záznam v prostorách výuky je nepřípustný</w:t>
      </w:r>
    </w:p>
    <w:p w14:paraId="72494FE5" w14:textId="77777777" w:rsidR="00F33F30" w:rsidRDefault="00000000">
      <w:pPr>
        <w:spacing w:after="120"/>
      </w:pPr>
      <w:r>
        <w:t>Kamerový systém byl instalován přímo do prostor, kde probíhá výuka. Třída je specifický prostor: žáci jsou zde povinně přítomni po celou dobu výuky, nemohou se sledování vyhnout a nacházejí se v situaci přirozené závislosti na autoritě školy. Právě z tohoto důvodu zákon — a zejména judikatura a metodické pokyny Úřadu pro ochranu osobních údajů (ÚOOÚ) — na toto prostředí nahlíží přísněji než na veřejný prostor.</w:t>
      </w:r>
    </w:p>
    <w:p w14:paraId="018AF82F" w14:textId="77777777" w:rsidR="00F33F30" w:rsidRDefault="00000000">
      <w:pPr>
        <w:spacing w:after="200"/>
      </w:pPr>
      <w:r>
        <w:t>ÚOOÚ ve svých stanoviscích opakovaně potvrdil, že kamerové systémy ve školách jsou přijatelné na vstupech a chodbách, nikoli v prostorách výuky. Kamera namířená na žáky při výuce zasahuje do vzdělávacího prostředí a důstojnosti žáků způsobem, který nemůže být odůvodněn ochranou majetku. Škola jako správce osobních údajů musí pro každé zpracování disponovat právním titulem dle čl. 6 nařízení GDPR — pro prostory výuky žádný z dostupných titulů testem proporcionality neprojde.</w:t>
      </w:r>
    </w:p>
    <w:p w14:paraId="4B5FDD71" w14:textId="77777777" w:rsidR="00F33F30" w:rsidRDefault="00000000">
      <w:pPr>
        <w:pStyle w:val="Nadpis2"/>
      </w:pPr>
      <w:r>
        <w:t>2. Škola zvažuje rozšíření kamerového systému po celém areálu</w:t>
      </w:r>
    </w:p>
    <w:p w14:paraId="37BF2500" w14:textId="77777777" w:rsidR="00F33F30" w:rsidRDefault="00000000">
      <w:pPr>
        <w:spacing w:after="120"/>
      </w:pPr>
      <w:r>
        <w:t>Vedení školy deklaruje záměr rozšířit kamerový systém do dalších prostor areálu. Tento záměr je v kontextu dosavadního postupu — instalace bez řádného právního základu, bez informování dotčených osob a bez zpracování povinné dokumentace — znepokojivým signálem. Postupná normalizace sledování ve školním prostředí bez právní záruky je nežádoucím precedentem.</w:t>
      </w:r>
    </w:p>
    <w:p w14:paraId="3AFB33FD" w14:textId="77777777" w:rsidR="00F33F30" w:rsidRDefault="00000000">
      <w:pPr>
        <w:spacing w:after="200"/>
      </w:pPr>
      <w:r>
        <w:t>Tato petice proto usiluje nejen o nápravu stávající situace, ale i o nastavení jasných pravidel pro jakékoli budoucí rozšiřování kamerového systému: konzultace s žáky, zákonnými zástupci a pedagogy, veřejně dostupná dokumentace zpracování a respektování nezpochybnitelné hranice — prostory výuky jsou mimo.</w:t>
      </w:r>
    </w:p>
    <w:p w14:paraId="52063339" w14:textId="77777777" w:rsidR="00F33F30" w:rsidRDefault="00000000">
      <w:pPr>
        <w:pStyle w:val="Nadpis2"/>
      </w:pPr>
      <w:r>
        <w:lastRenderedPageBreak/>
        <w:t>3. Žáci a zákonní zástupci nebyli informováni ani nebyl vyžádán jejich souhlas</w:t>
      </w:r>
    </w:p>
    <w:p w14:paraId="52E7E208" w14:textId="77777777" w:rsidR="00F33F30" w:rsidRDefault="00000000">
      <w:pPr>
        <w:spacing w:after="120"/>
      </w:pPr>
      <w:r>
        <w:t>Škola neposkytla žákům ani zákonným zástupcům informace dle čl. 13 nařízení GDPR: účel zpracování, právní titul, doba uchování záznamů, totožnost případných příjemců dat. Podobizna nezletilého žáka je osobní údaj, s jehož zpracováním musí zákonný zástupce souhlasit. Tento souhlas nikdy vyžádán nebyl.</w:t>
      </w:r>
    </w:p>
    <w:p w14:paraId="24D71BF5" w14:textId="77777777" w:rsidR="00F33F30" w:rsidRDefault="00000000">
      <w:pPr>
        <w:spacing w:after="200"/>
      </w:pPr>
      <w:r>
        <w:t>Škola rovněž nezpracovala povinné posouzení vlivu na ochranu osobních údajů (DPIA) a neexistuje veřejně dostupný záznam o činnostech zpracování. Každé z těchto pochybení je samostatným porušením nařízení GDPR a zákona č. 110/2019 Sb.</w:t>
      </w:r>
    </w:p>
    <w:p w14:paraId="6B5851AE" w14:textId="77777777" w:rsidR="00F33F30" w:rsidRDefault="00000000">
      <w:pPr>
        <w:pStyle w:val="Nadpis2"/>
      </w:pPr>
      <w:r>
        <w:t>4. Pro ochranu majetku dostačuje kamera bez umělé inteligence</w:t>
      </w:r>
    </w:p>
    <w:p w14:paraId="36426B96" w14:textId="77777777" w:rsidR="00F33F30" w:rsidRDefault="00000000">
      <w:pPr>
        <w:spacing w:after="120"/>
      </w:pPr>
      <w:r>
        <w:t>Škola jako deklarovaný účel instalace uvádí ochranu majetku. Tento cíl je legitimní — avšak k jeho dosažení plně dostačuje standardní kamerový systém bez umělé inteligence, umístěný na vstupech a chodbách. Nasazení AI systému s analýzou chování osob v prostoru výuky je technologicky i právně zcela nepřiměřeným prostředkem k dosažení tohoto cíle.</w:t>
      </w:r>
    </w:p>
    <w:p w14:paraId="2D261835" w14:textId="77777777" w:rsidR="00F33F30" w:rsidRDefault="00000000">
      <w:pPr>
        <w:spacing w:after="200"/>
      </w:pPr>
      <w:r>
        <w:t xml:space="preserve">Navíc nařízení EU 2024/1689 (AI </w:t>
      </w:r>
      <w:proofErr w:type="spellStart"/>
      <w:r>
        <w:t>Act</w:t>
      </w:r>
      <w:proofErr w:type="spellEnd"/>
      <w:r>
        <w:t>), platné od srpna 2024, výslovně klasifikuje AI systémy určené k monitorování nebo hodnocení osob ve vzdělávacím prostředí jako vysoce rizikovou AI. Provozovatel takového systému musí splnit přísné požadavky: registraci v evropské databázi AI systémů, technickou dokumentaci, posouzení rizik a zajištění lidského dohledu. Splnění těchto podmínek nebylo prokázáno ani veřejně deklarováno.</w:t>
      </w:r>
    </w:p>
    <w:p w14:paraId="297B845E" w14:textId="77777777" w:rsidR="00F33F30" w:rsidRDefault="00000000">
      <w:pPr>
        <w:pStyle w:val="Nadpis1"/>
      </w:pPr>
      <w:r>
        <w:t>II. Naše požadavky</w:t>
      </w:r>
    </w:p>
    <w:p w14:paraId="0291DF32" w14:textId="77777777" w:rsidR="00F33F30" w:rsidRDefault="00000000">
      <w:pPr>
        <w:spacing w:after="160"/>
      </w:pPr>
      <w:r>
        <w:t>Na základě výše uvedeného žádáme vedení školy o přijetí následujících opatření:</w:t>
      </w:r>
    </w:p>
    <w:p w14:paraId="312C3ADC" w14:textId="77777777" w:rsidR="00F33F30" w:rsidRDefault="00000000">
      <w:pPr>
        <w:pStyle w:val="Nadpis3"/>
      </w:pPr>
      <w:r>
        <w:t>Požadavek č. 1 — Přemístění kamer z prostor výuky</w:t>
      </w:r>
    </w:p>
    <w:p w14:paraId="08DADE86" w14:textId="77777777" w:rsidR="00F33F30" w:rsidRDefault="00000000">
      <w:pPr>
        <w:spacing w:after="200"/>
      </w:pPr>
      <w:r>
        <w:t>Žádáme o odstranění kamerového systému z prostor, kde probíhá výuka, a jeho přemístění na chodbu před vchody do učeben. Toto řešení zajistí ochranu majetku školy a kontrolu pohybu osob v areálu bez zásahu do prostoru výuky. Jde o standardní, právně přijatelné a technicky jednoduše proveditelné opatření, které odpovídá doporučením ÚOOÚ pro kamerové systémy ve školách.</w:t>
      </w:r>
    </w:p>
    <w:p w14:paraId="4F976191" w14:textId="77777777" w:rsidR="00F33F30" w:rsidRDefault="00000000">
      <w:pPr>
        <w:pStyle w:val="Nadpis3"/>
      </w:pPr>
      <w:r>
        <w:t>Požadavek č. 2 — Písemné odůvodnění volby AI kamerového systému</w:t>
      </w:r>
    </w:p>
    <w:p w14:paraId="7D86DBED" w14:textId="77777777" w:rsidR="00F33F30" w:rsidRDefault="00000000">
      <w:pPr>
        <w:spacing w:after="200"/>
      </w:pPr>
      <w:r>
        <w:t xml:space="preserve">Žádáme o písemné vysvětlení, proč byl pro deklarovaný účel ochrany majetku zvolen AI systém s analýzou chování žáků při výuce, a nikoli standardní kamerový systém. Toto odůvodnění je nezbytné pro posouzení souladu se zásadou minimalizace dat a účelového omezení dle čl. 5 nařízení GDPR, jakož i pro posouzení povinností plynoucích z AI </w:t>
      </w:r>
      <w:proofErr w:type="spellStart"/>
      <w:r>
        <w:t>Actu</w:t>
      </w:r>
      <w:proofErr w:type="spellEnd"/>
      <w:r>
        <w:t>.</w:t>
      </w:r>
    </w:p>
    <w:p w14:paraId="39B014A6" w14:textId="77777777" w:rsidR="00F33F30" w:rsidRDefault="00000000">
      <w:pPr>
        <w:pStyle w:val="Nadpis3"/>
      </w:pPr>
      <w:r>
        <w:t>Požadavek č. 3 — Informace o dosavadním zpracování a výmaz záznamů</w:t>
      </w:r>
    </w:p>
    <w:p w14:paraId="33150065" w14:textId="77777777" w:rsidR="00F33F30" w:rsidRDefault="00000000">
      <w:pPr>
        <w:spacing w:after="200"/>
      </w:pPr>
      <w:r>
        <w:t>Žádáme o informaci o době uchování záznamů, okruhu osob a subjektů s přístupem k záznamům a případném předání třetím stranám (provozovatel systému, servisní firma apod.). Zároveň žádáme o okamžité vymazání všech dosud pořízených záznamů z prostor výuky.</w:t>
      </w:r>
    </w:p>
    <w:p w14:paraId="47BCDF3C" w14:textId="77777777" w:rsidR="00F33F30" w:rsidRDefault="00000000">
      <w:pPr>
        <w:pStyle w:val="Nadpis3"/>
      </w:pPr>
      <w:r>
        <w:t>Požadavek č. 4 — Závazek konzultace pro budoucí rozšíření systému</w:t>
      </w:r>
    </w:p>
    <w:p w14:paraId="33CCD1A5" w14:textId="77777777" w:rsidR="00F33F30" w:rsidRDefault="00000000">
      <w:pPr>
        <w:spacing w:after="200"/>
      </w:pPr>
      <w:r>
        <w:lastRenderedPageBreak/>
        <w:t>Žádáme o písemný závazek, že jakékoli budoucí rozšíření kamerového systému bude předem konzultováno se zástupci žáků, zákonných zástupců a pedagogů, a že prostory výuky nebudou do kamerového systému zahrnuty.</w:t>
      </w:r>
    </w:p>
    <w:p w14:paraId="53938068" w14:textId="77777777" w:rsidR="00F33F30" w:rsidRDefault="00000000">
      <w:pPr>
        <w:pStyle w:val="Nadpis3"/>
      </w:pPr>
      <w:r>
        <w:t>Požadavek č. 5 — Písemná odpověď ve lhůtě 30 dnů</w:t>
      </w:r>
    </w:p>
    <w:p w14:paraId="5CB1EAF9" w14:textId="77777777" w:rsidR="00F33F30" w:rsidRDefault="00000000">
      <w:pPr>
        <w:spacing w:after="300"/>
      </w:pPr>
      <w:r>
        <w:t>Žádáme o písemnou odpověď na tuto petici ve lhůtě 30 dnů od jejího doručení, jak stanoví zákon č. 85/1990 Sb., o právu petičním.</w:t>
      </w:r>
    </w:p>
    <w:p w14:paraId="30904074" w14:textId="77777777" w:rsidR="00F33F30" w:rsidRDefault="00000000">
      <w:pPr>
        <w:pStyle w:val="Nadpis1"/>
      </w:pPr>
      <w:r>
        <w:t>III. Právní základ petice</w:t>
      </w:r>
    </w:p>
    <w:p w14:paraId="29056E7F" w14:textId="77777777" w:rsidR="00F33F30" w:rsidRDefault="00000000">
      <w:pPr>
        <w:spacing w:after="100"/>
      </w:pPr>
      <w:r>
        <w:t>Tato petice se opírá o následující právní předpisy:</w:t>
      </w:r>
    </w:p>
    <w:p w14:paraId="506CB522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Zákon č. 85/1990 Sb., o právu petičním</w:t>
      </w:r>
      <w:r>
        <w:rPr>
          <w:color w:val="444444"/>
          <w:sz w:val="22"/>
          <w:szCs w:val="22"/>
        </w:rPr>
        <w:t xml:space="preserve"> — Zákonný základ pro podání a povinnost odpovědět do 30 dnů.</w:t>
      </w:r>
    </w:p>
    <w:p w14:paraId="756DBFA0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Nařízení GDPR (EU) 2016/679, čl. 5, 6, 13</w:t>
      </w:r>
      <w:r>
        <w:rPr>
          <w:color w:val="444444"/>
          <w:sz w:val="22"/>
          <w:szCs w:val="22"/>
        </w:rPr>
        <w:t xml:space="preserve"> — Zásady zpracování OÚ, právní tituly, povinnost informování.</w:t>
      </w:r>
    </w:p>
    <w:p w14:paraId="0E5D5B02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Zákon č. 110/2019 Sb., o zpracování osobních údajů</w:t>
      </w:r>
      <w:r>
        <w:rPr>
          <w:color w:val="444444"/>
          <w:sz w:val="22"/>
          <w:szCs w:val="22"/>
        </w:rPr>
        <w:t xml:space="preserve"> — Povinnost DPIA a záznamu o činnostech zpracování.</w:t>
      </w:r>
    </w:p>
    <w:p w14:paraId="2E791533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 xml:space="preserve">AI </w:t>
      </w:r>
      <w:proofErr w:type="spellStart"/>
      <w:r>
        <w:rPr>
          <w:b/>
          <w:bCs/>
          <w:sz w:val="22"/>
          <w:szCs w:val="22"/>
        </w:rPr>
        <w:t>Act</w:t>
      </w:r>
      <w:proofErr w:type="spellEnd"/>
      <w:r>
        <w:rPr>
          <w:b/>
          <w:bCs/>
          <w:sz w:val="22"/>
          <w:szCs w:val="22"/>
        </w:rPr>
        <w:t xml:space="preserve"> — nařízení EU 2024/1689, příloha III</w:t>
      </w:r>
      <w:r>
        <w:rPr>
          <w:color w:val="444444"/>
          <w:sz w:val="22"/>
          <w:szCs w:val="22"/>
        </w:rPr>
        <w:t xml:space="preserve"> — Klasifikace AI systémů ve vzdělávání jako vysoce riziková AI.</w:t>
      </w:r>
    </w:p>
    <w:p w14:paraId="762F0537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Listina základních práv a svobod, čl. 7 a 10</w:t>
      </w:r>
      <w:r>
        <w:rPr>
          <w:color w:val="444444"/>
          <w:sz w:val="22"/>
          <w:szCs w:val="22"/>
        </w:rPr>
        <w:t xml:space="preserve"> — Právo na soukromí a ochranu před </w:t>
      </w:r>
      <w:proofErr w:type="spellStart"/>
      <w:r>
        <w:rPr>
          <w:color w:val="444444"/>
          <w:sz w:val="22"/>
          <w:szCs w:val="22"/>
        </w:rPr>
        <w:t>neopr</w:t>
      </w:r>
      <w:proofErr w:type="spellEnd"/>
      <w:r>
        <w:rPr>
          <w:color w:val="444444"/>
          <w:sz w:val="22"/>
          <w:szCs w:val="22"/>
        </w:rPr>
        <w:t>. shromažďováním OÚ.</w:t>
      </w:r>
    </w:p>
    <w:p w14:paraId="04E7F7F5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Zákon č. 89/2012 Sb. (OZ), § 84–90</w:t>
      </w:r>
      <w:r>
        <w:rPr>
          <w:color w:val="444444"/>
          <w:sz w:val="22"/>
          <w:szCs w:val="22"/>
        </w:rPr>
        <w:t xml:space="preserve"> — Ochrana podobizny fyzické osoby, nárok na nemateriální újmu.</w:t>
      </w:r>
    </w:p>
    <w:p w14:paraId="522037E9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Zákon č. 561/2004 Sb. (školský zákon)</w:t>
      </w:r>
      <w:r>
        <w:rPr>
          <w:color w:val="444444"/>
          <w:sz w:val="22"/>
          <w:szCs w:val="22"/>
        </w:rPr>
        <w:t xml:space="preserve"> — Povinnost zajistit důstojné a bezpečné vzdělávací prostředí.</w:t>
      </w:r>
    </w:p>
    <w:p w14:paraId="390DD18B" w14:textId="77777777" w:rsidR="00F33F30" w:rsidRDefault="00000000">
      <w:pPr>
        <w:pStyle w:val="Odstavecseseznamem"/>
        <w:numPr>
          <w:ilvl w:val="0"/>
          <w:numId w:val="2"/>
        </w:numPr>
        <w:spacing w:before="60" w:after="60"/>
      </w:pPr>
      <w:r>
        <w:rPr>
          <w:b/>
          <w:bCs/>
          <w:sz w:val="22"/>
          <w:szCs w:val="22"/>
        </w:rPr>
        <w:t>Zákon č. 262/2006 Sb. (zákoník práce), § 316</w:t>
      </w:r>
      <w:r>
        <w:rPr>
          <w:color w:val="444444"/>
          <w:sz w:val="22"/>
          <w:szCs w:val="22"/>
        </w:rPr>
        <w:t xml:space="preserve"> — Podmínky pro monitorování zaměstnanců na pracovišti.</w:t>
      </w:r>
    </w:p>
    <w:p w14:paraId="622C8A8D" w14:textId="77777777" w:rsidR="00F33F30" w:rsidRDefault="00000000">
      <w:pPr>
        <w:pBdr>
          <w:top w:val="single" w:sz="4" w:space="1" w:color="CCCCCC"/>
        </w:pBdr>
        <w:spacing w:before="360" w:after="160"/>
      </w:pPr>
      <w:r>
        <w:rPr>
          <w:i/>
          <w:iCs/>
          <w:color w:val="555555"/>
          <w:sz w:val="22"/>
          <w:szCs w:val="22"/>
        </w:rPr>
        <w:t>Věříme, že vedení školy přistoupí k řešení této situace konstruktivně a ve prospěch všech zúčastněných. V případě, že petice zůstane bez odpovědi nebo bez přijetí adekvátních opatření, vyhrazujeme si právo obrátit se na Českou školní inspekci, Úřad pro ochranu osobních údajů a zřizovatele školy.</w:t>
      </w:r>
    </w:p>
    <w:p w14:paraId="61CC20E2" w14:textId="77777777" w:rsidR="00F33F30" w:rsidRDefault="00000000">
      <w:pPr>
        <w:pStyle w:val="Nadpis2"/>
      </w:pPr>
      <w:r>
        <w:t>Petiční výbor / Kontaktní osoba</w:t>
      </w:r>
    </w:p>
    <w:p w14:paraId="6F1659E3" w14:textId="710D8315" w:rsidR="00F33F30" w:rsidRDefault="00000000">
      <w:pPr>
        <w:spacing w:before="80" w:after="60"/>
      </w:pPr>
      <w:r>
        <w:t xml:space="preserve">Jméno a příjmení: </w:t>
      </w:r>
      <w:r w:rsidR="00695ED1">
        <w:t>Jaroslav Mužík</w:t>
      </w:r>
    </w:p>
    <w:p w14:paraId="478346DC" w14:textId="64F34659" w:rsidR="00F33F30" w:rsidRDefault="00000000">
      <w:pPr>
        <w:spacing w:after="60"/>
      </w:pPr>
      <w:r>
        <w:t xml:space="preserve">Adresa bydliště: </w:t>
      </w:r>
      <w:proofErr w:type="spellStart"/>
      <w:r w:rsidR="00695ED1">
        <w:t>Laichterova</w:t>
      </w:r>
      <w:proofErr w:type="spellEnd"/>
      <w:r w:rsidR="00695ED1">
        <w:t xml:space="preserve"> 972, 518 </w:t>
      </w:r>
      <w:proofErr w:type="gramStart"/>
      <w:r w:rsidR="00695ED1">
        <w:t>01  Dobruška</w:t>
      </w:r>
      <w:proofErr w:type="gramEnd"/>
    </w:p>
    <w:p w14:paraId="12424742" w14:textId="36FB5B17" w:rsidR="00F33F30" w:rsidRDefault="00000000">
      <w:pPr>
        <w:spacing w:after="60"/>
      </w:pPr>
      <w:r>
        <w:t xml:space="preserve">E-mail / telefon: </w:t>
      </w:r>
      <w:hyperlink r:id="rId5" w:history="1">
        <w:r w:rsidR="00695ED1" w:rsidRPr="00037947">
          <w:rPr>
            <w:rStyle w:val="Hypertextovodkaz"/>
          </w:rPr>
          <w:t>jacm139@icloud.com</w:t>
        </w:r>
      </w:hyperlink>
      <w:r w:rsidR="00695ED1">
        <w:t xml:space="preserve"> / 777 139 537</w:t>
      </w:r>
    </w:p>
    <w:p w14:paraId="70A5B5CA" w14:textId="77777777" w:rsidR="00695ED1" w:rsidRDefault="00695ED1">
      <w:pPr>
        <w:spacing w:after="60"/>
      </w:pPr>
    </w:p>
    <w:p w14:paraId="13B46095" w14:textId="77777777" w:rsidR="00F33F30" w:rsidRDefault="00000000">
      <w:pPr>
        <w:spacing w:after="500"/>
      </w:pPr>
      <w:r>
        <w:t>Podpis: ............................................................................</w:t>
      </w:r>
    </w:p>
    <w:p w14:paraId="09E9F10D" w14:textId="77777777" w:rsidR="00F33F30" w:rsidRDefault="00000000">
      <w:pPr>
        <w:pBdr>
          <w:top w:val="double" w:sz="6" w:space="1" w:color="1F3864"/>
          <w:bottom w:val="single" w:sz="2" w:space="1" w:color="CCCCCC"/>
        </w:pBdr>
        <w:spacing w:before="200" w:after="160"/>
        <w:jc w:val="center"/>
      </w:pPr>
      <w:r>
        <w:rPr>
          <w:b/>
          <w:bCs/>
          <w:color w:val="1F3864"/>
          <w:sz w:val="32"/>
          <w:szCs w:val="32"/>
        </w:rPr>
        <w:t>PODPISOVÝ ARCH</w:t>
      </w:r>
    </w:p>
    <w:p w14:paraId="6ED126AF" w14:textId="77777777" w:rsidR="00F33F30" w:rsidRDefault="00000000">
      <w:pPr>
        <w:spacing w:after="400"/>
        <w:jc w:val="center"/>
      </w:pPr>
      <w:r>
        <w:rPr>
          <w:i/>
          <w:iCs/>
          <w:color w:val="666666"/>
          <w:sz w:val="22"/>
          <w:szCs w:val="22"/>
        </w:rPr>
        <w:t>Petice proti audiovizuálnímu záznamu v prostorách výuky</w:t>
      </w:r>
    </w:p>
    <w:p w14:paraId="68C5F2CB" w14:textId="77777777" w:rsidR="00F33F30" w:rsidRDefault="00000000">
      <w:pPr>
        <w:pBdr>
          <w:top w:val="single" w:sz="6" w:space="0" w:color="1F3864"/>
          <w:bottom w:val="single" w:sz="4" w:space="0" w:color="1F3864"/>
        </w:pBdr>
        <w:spacing w:after="60"/>
      </w:pPr>
      <w:r>
        <w:rPr>
          <w:b/>
          <w:bCs/>
          <w:sz w:val="20"/>
          <w:szCs w:val="20"/>
        </w:rPr>
        <w:t>#   Jméno a příjmení                                          Adresa bydliště                                    Podpis</w:t>
      </w:r>
    </w:p>
    <w:p w14:paraId="0D005341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6086A19A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lastRenderedPageBreak/>
        <w:t>2.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27F28B9B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1EE27A0D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7170F5CC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15929257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3304D76B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5BC8E61B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8.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45308987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9.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7218D336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3D6BB049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6756A91F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12.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2A30AD8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13.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43E3A841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14.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FBAB0C4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15.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81C0FF2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16.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379C67FE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17.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64E5424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18.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5FEACE4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19.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163B6911" w14:textId="77777777" w:rsidR="00F33F30" w:rsidRDefault="00000000">
      <w:pPr>
        <w:pBdr>
          <w:bottom w:val="single" w:sz="1" w:space="0" w:color="DDDDDD"/>
        </w:pBdr>
        <w:spacing w:before="40" w:after="40"/>
      </w:pPr>
      <w:r>
        <w:rPr>
          <w:b/>
          <w:bCs/>
          <w:sz w:val="22"/>
          <w:szCs w:val="22"/>
        </w:rPr>
        <w:t>20.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03A7A89" w14:textId="77777777" w:rsidR="00F33F30" w:rsidRDefault="00000000">
      <w:pPr>
        <w:pBdr>
          <w:top w:val="single" w:sz="2" w:space="1" w:color="CCCCCC"/>
        </w:pBdr>
        <w:spacing w:before="360" w:after="60"/>
      </w:pPr>
      <w:r>
        <w:rPr>
          <w:b/>
          <w:bCs/>
          <w:color w:val="666666"/>
          <w:sz w:val="20"/>
          <w:szCs w:val="20"/>
        </w:rPr>
        <w:t>Informace o zpracování osobních údajů signatářů:</w:t>
      </w:r>
    </w:p>
    <w:p w14:paraId="5E7B8693" w14:textId="77777777" w:rsidR="00F33F30" w:rsidRDefault="00000000">
      <w:r>
        <w:rPr>
          <w:i/>
          <w:iCs/>
          <w:color w:val="888888"/>
          <w:sz w:val="18"/>
          <w:szCs w:val="18"/>
        </w:rPr>
        <w:t>Osobní údaje (jméno, příjmení, adresa bydliště) jsou zpracovávány výhradně za účelem uplatnění petičního práva dle zákona č. 85/1990 Sb. Správcem údajů je kontaktní osoba petičního výboru uvedená výše. Údaje nebudou předávány třetím stranám a budou zlikvidovány neprodleně po vyřízení petice.</w:t>
      </w:r>
    </w:p>
    <w:sectPr w:rsidR="00F33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0597"/>
    <w:multiLevelType w:val="hybridMultilevel"/>
    <w:tmpl w:val="2AF2EFAE"/>
    <w:lvl w:ilvl="0" w:tplc="8CEA8894">
      <w:start w:val="1"/>
      <w:numFmt w:val="bullet"/>
      <w:lvlText w:val="●"/>
      <w:lvlJc w:val="left"/>
      <w:pPr>
        <w:ind w:left="720" w:hanging="360"/>
      </w:pPr>
    </w:lvl>
    <w:lvl w:ilvl="1" w:tplc="39EEDB58">
      <w:start w:val="1"/>
      <w:numFmt w:val="bullet"/>
      <w:lvlText w:val="○"/>
      <w:lvlJc w:val="left"/>
      <w:pPr>
        <w:ind w:left="1440" w:hanging="360"/>
      </w:pPr>
    </w:lvl>
    <w:lvl w:ilvl="2" w:tplc="82B0FD0E">
      <w:start w:val="1"/>
      <w:numFmt w:val="bullet"/>
      <w:lvlText w:val="■"/>
      <w:lvlJc w:val="left"/>
      <w:pPr>
        <w:ind w:left="2160" w:hanging="360"/>
      </w:pPr>
    </w:lvl>
    <w:lvl w:ilvl="3" w:tplc="C6B83B02">
      <w:start w:val="1"/>
      <w:numFmt w:val="bullet"/>
      <w:lvlText w:val="●"/>
      <w:lvlJc w:val="left"/>
      <w:pPr>
        <w:ind w:left="2880" w:hanging="360"/>
      </w:pPr>
    </w:lvl>
    <w:lvl w:ilvl="4" w:tplc="282EC2AC">
      <w:start w:val="1"/>
      <w:numFmt w:val="bullet"/>
      <w:lvlText w:val="○"/>
      <w:lvlJc w:val="left"/>
      <w:pPr>
        <w:ind w:left="3600" w:hanging="360"/>
      </w:pPr>
    </w:lvl>
    <w:lvl w:ilvl="5" w:tplc="C4F6A6A8">
      <w:start w:val="1"/>
      <w:numFmt w:val="bullet"/>
      <w:lvlText w:val="■"/>
      <w:lvlJc w:val="left"/>
      <w:pPr>
        <w:ind w:left="4320" w:hanging="360"/>
      </w:pPr>
    </w:lvl>
    <w:lvl w:ilvl="6" w:tplc="F70E6B12">
      <w:start w:val="1"/>
      <w:numFmt w:val="bullet"/>
      <w:lvlText w:val="●"/>
      <w:lvlJc w:val="left"/>
      <w:pPr>
        <w:ind w:left="5040" w:hanging="360"/>
      </w:pPr>
    </w:lvl>
    <w:lvl w:ilvl="7" w:tplc="1FE2A888">
      <w:start w:val="1"/>
      <w:numFmt w:val="bullet"/>
      <w:lvlText w:val="●"/>
      <w:lvlJc w:val="left"/>
      <w:pPr>
        <w:ind w:left="5760" w:hanging="360"/>
      </w:pPr>
    </w:lvl>
    <w:lvl w:ilvl="8" w:tplc="D29C52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CE26C7"/>
    <w:multiLevelType w:val="hybridMultilevel"/>
    <w:tmpl w:val="CA222028"/>
    <w:lvl w:ilvl="0" w:tplc="0DB668D4">
      <w:start w:val="1"/>
      <w:numFmt w:val="bullet"/>
      <w:lvlText w:val="•"/>
      <w:lvlJc w:val="left"/>
      <w:pPr>
        <w:ind w:left="720" w:hanging="360"/>
      </w:pPr>
    </w:lvl>
    <w:lvl w:ilvl="1" w:tplc="15FA5D2C">
      <w:numFmt w:val="decimal"/>
      <w:lvlText w:val=""/>
      <w:lvlJc w:val="left"/>
    </w:lvl>
    <w:lvl w:ilvl="2" w:tplc="D952A9A8">
      <w:numFmt w:val="decimal"/>
      <w:lvlText w:val=""/>
      <w:lvlJc w:val="left"/>
    </w:lvl>
    <w:lvl w:ilvl="3" w:tplc="125E1138">
      <w:numFmt w:val="decimal"/>
      <w:lvlText w:val=""/>
      <w:lvlJc w:val="left"/>
    </w:lvl>
    <w:lvl w:ilvl="4" w:tplc="0ADC15BC">
      <w:numFmt w:val="decimal"/>
      <w:lvlText w:val=""/>
      <w:lvlJc w:val="left"/>
    </w:lvl>
    <w:lvl w:ilvl="5" w:tplc="114AA97A">
      <w:numFmt w:val="decimal"/>
      <w:lvlText w:val=""/>
      <w:lvlJc w:val="left"/>
    </w:lvl>
    <w:lvl w:ilvl="6" w:tplc="4162999C">
      <w:numFmt w:val="decimal"/>
      <w:lvlText w:val=""/>
      <w:lvlJc w:val="left"/>
    </w:lvl>
    <w:lvl w:ilvl="7" w:tplc="694A973E">
      <w:numFmt w:val="decimal"/>
      <w:lvlText w:val=""/>
      <w:lvlJc w:val="left"/>
    </w:lvl>
    <w:lvl w:ilvl="8" w:tplc="BE66BE3E">
      <w:numFmt w:val="decimal"/>
      <w:lvlText w:val=""/>
      <w:lvlJc w:val="left"/>
    </w:lvl>
  </w:abstractNum>
  <w:abstractNum w:abstractNumId="2" w15:restartNumberingAfterBreak="0">
    <w:nsid w:val="3E4C21BA"/>
    <w:multiLevelType w:val="hybridMultilevel"/>
    <w:tmpl w:val="3D38F1AA"/>
    <w:lvl w:ilvl="0" w:tplc="A9522300">
      <w:start w:val="1"/>
      <w:numFmt w:val="decimal"/>
      <w:lvlText w:val="%1."/>
      <w:lvlJc w:val="left"/>
      <w:pPr>
        <w:ind w:left="720" w:hanging="360"/>
      </w:pPr>
    </w:lvl>
    <w:lvl w:ilvl="1" w:tplc="37BED216">
      <w:numFmt w:val="decimal"/>
      <w:lvlText w:val=""/>
      <w:lvlJc w:val="left"/>
    </w:lvl>
    <w:lvl w:ilvl="2" w:tplc="39C47E72">
      <w:numFmt w:val="decimal"/>
      <w:lvlText w:val=""/>
      <w:lvlJc w:val="left"/>
    </w:lvl>
    <w:lvl w:ilvl="3" w:tplc="3B246126">
      <w:numFmt w:val="decimal"/>
      <w:lvlText w:val=""/>
      <w:lvlJc w:val="left"/>
    </w:lvl>
    <w:lvl w:ilvl="4" w:tplc="6C2075CA">
      <w:numFmt w:val="decimal"/>
      <w:lvlText w:val=""/>
      <w:lvlJc w:val="left"/>
    </w:lvl>
    <w:lvl w:ilvl="5" w:tplc="60785488">
      <w:numFmt w:val="decimal"/>
      <w:lvlText w:val=""/>
      <w:lvlJc w:val="left"/>
    </w:lvl>
    <w:lvl w:ilvl="6" w:tplc="50ECCBD2">
      <w:numFmt w:val="decimal"/>
      <w:lvlText w:val=""/>
      <w:lvlJc w:val="left"/>
    </w:lvl>
    <w:lvl w:ilvl="7" w:tplc="F070B6A2">
      <w:numFmt w:val="decimal"/>
      <w:lvlText w:val=""/>
      <w:lvlJc w:val="left"/>
    </w:lvl>
    <w:lvl w:ilvl="8" w:tplc="EE4C8CE2">
      <w:numFmt w:val="decimal"/>
      <w:lvlText w:val=""/>
      <w:lvlJc w:val="left"/>
    </w:lvl>
  </w:abstractNum>
  <w:num w:numId="1" w16cid:durableId="230773092">
    <w:abstractNumId w:val="0"/>
    <w:lvlOverride w:ilvl="0">
      <w:startOverride w:val="1"/>
    </w:lvlOverride>
  </w:num>
  <w:num w:numId="2" w16cid:durableId="11501013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0"/>
    <w:rsid w:val="00695ED1"/>
    <w:rsid w:val="00F33F30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B834E"/>
  <w15:docId w15:val="{B58605A8-E89D-0843-9D25-89E603FA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80" w:after="120"/>
      <w:outlineLvl w:val="0"/>
    </w:pPr>
    <w:rPr>
      <w:b/>
      <w:bCs/>
      <w:color w:val="1F3864"/>
      <w:sz w:val="36"/>
      <w:szCs w:val="36"/>
    </w:rPr>
  </w:style>
  <w:style w:type="paragraph" w:styleId="Nadpis2">
    <w:name w:val="heading 2"/>
    <w:uiPriority w:val="9"/>
    <w:unhideWhenUsed/>
    <w:qFormat/>
    <w:pPr>
      <w:spacing w:before="240" w:after="100"/>
      <w:outlineLvl w:val="1"/>
    </w:pPr>
    <w:rPr>
      <w:b/>
      <w:bCs/>
      <w:color w:val="2E5090"/>
      <w:sz w:val="26"/>
      <w:szCs w:val="26"/>
    </w:rPr>
  </w:style>
  <w:style w:type="paragraph" w:styleId="Nadpis3">
    <w:name w:val="heading 3"/>
    <w:uiPriority w:val="9"/>
    <w:unhideWhenUsed/>
    <w:qFormat/>
    <w:pPr>
      <w:spacing w:before="180" w:after="80"/>
      <w:outlineLvl w:val="2"/>
    </w:pPr>
    <w:rPr>
      <w:b/>
      <w:bCs/>
      <w:color w:val="1A6B3C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9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m139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1572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Miloslav Lukovský</cp:lastModifiedBy>
  <cp:revision>2</cp:revision>
  <dcterms:created xsi:type="dcterms:W3CDTF">2026-03-18T18:36:00Z</dcterms:created>
  <dcterms:modified xsi:type="dcterms:W3CDTF">2026-03-30T13:08:00Z</dcterms:modified>
</cp:coreProperties>
</file>